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6F363D13"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8C31C5" w:rsidRPr="008C31C5">
        <w:rPr>
          <w:rFonts w:ascii="Arial Narrow" w:hAnsi="Arial Narrow"/>
          <w:bCs/>
          <w:sz w:val="24"/>
          <w:szCs w:val="24"/>
        </w:rPr>
        <w:t>prof. MUDr. Ondřej Ludka, Ph.D., FESC</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 xml:space="preserve">+420 </w:t>
      </w:r>
      <w:r w:rsidR="008C31C5" w:rsidRPr="008C31C5">
        <w:rPr>
          <w:rFonts w:ascii="Arial Narrow" w:hAnsi="Arial Narrow"/>
          <w:bCs/>
          <w:sz w:val="24"/>
          <w:szCs w:val="24"/>
        </w:rPr>
        <w:t>532 231</w:t>
      </w:r>
      <w:r w:rsidR="006F23E9">
        <w:rPr>
          <w:rFonts w:ascii="Arial Narrow" w:hAnsi="Arial Narrow"/>
          <w:bCs/>
          <w:sz w:val="24"/>
          <w:szCs w:val="24"/>
        </w:rPr>
        <w:t> </w:t>
      </w:r>
      <w:r w:rsidR="008C31C5" w:rsidRPr="008C31C5">
        <w:rPr>
          <w:rFonts w:ascii="Arial Narrow" w:hAnsi="Arial Narrow"/>
          <w:bCs/>
          <w:sz w:val="24"/>
          <w:szCs w:val="24"/>
        </w:rPr>
        <w:t>976</w:t>
      </w:r>
      <w:r w:rsidR="006F23E9">
        <w:rPr>
          <w:rFonts w:ascii="Arial Narrow" w:hAnsi="Arial Narrow"/>
          <w:bCs/>
          <w:sz w:val="24"/>
          <w:szCs w:val="24"/>
        </w:rPr>
        <w:t xml:space="preserve">, </w:t>
      </w:r>
      <w:r w:rsidR="006F23E9" w:rsidRPr="00686AB0">
        <w:rPr>
          <w:rFonts w:ascii="Arial Narrow" w:hAnsi="Arial Narrow"/>
        </w:rPr>
        <w:t>+420</w:t>
      </w:r>
      <w:r w:rsidR="006F23E9">
        <w:rPr>
          <w:rFonts w:ascii="Arial Narrow" w:hAnsi="Arial Narrow"/>
        </w:rPr>
        <w:t> 608 504 437</w:t>
      </w:r>
      <w:r w:rsidRPr="003F11D8">
        <w:rPr>
          <w:rFonts w:ascii="Arial Narrow" w:hAnsi="Arial Narrow"/>
          <w:sz w:val="24"/>
          <w:szCs w:val="24"/>
        </w:rPr>
        <w:t xml:space="preserve">, e-mail: </w:t>
      </w:r>
      <w:r w:rsidR="008C31C5" w:rsidRPr="008C31C5">
        <w:rPr>
          <w:rFonts w:ascii="Arial Narrow" w:hAnsi="Arial Narrow"/>
          <w:bCs/>
          <w:sz w:val="24"/>
          <w:szCs w:val="24"/>
        </w:rPr>
        <w:t>ludka.ondrej@fnbrno.c</w:t>
      </w:r>
      <w:r w:rsidR="006F23E9">
        <w:rPr>
          <w:rFonts w:ascii="Arial Narrow" w:hAnsi="Arial Narrow"/>
          <w:bCs/>
          <w:sz w:val="24"/>
          <w:szCs w:val="24"/>
        </w:rPr>
        <w:t>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31134BCC"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nového zdravotnického přístroje – kapesního ultrazvukového přístroje s duální sondou pro Všeobecnou interní kliniku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v oddílech „Technické </w:t>
      </w:r>
      <w:r w:rsidR="004E1100" w:rsidRPr="003F11D8">
        <w:rPr>
          <w:rFonts w:ascii="Arial Narrow" w:hAnsi="Arial Narrow"/>
        </w:rPr>
        <w:lastRenderedPageBreak/>
        <w:t>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627C9D29" w14:textId="77777777" w:rsidR="00DC289C" w:rsidRPr="00DC289C" w:rsidRDefault="00DC289C" w:rsidP="00DC289C">
      <w:pPr>
        <w:spacing w:after="0" w:line="240" w:lineRule="auto"/>
        <w:ind w:left="992"/>
        <w:jc w:val="both"/>
        <w:rPr>
          <w:rFonts w:ascii="Arial Narrow" w:hAnsi="Arial Narrow"/>
        </w:rPr>
      </w:pPr>
      <w:r w:rsidRPr="00DC289C">
        <w:rPr>
          <w:rFonts w:ascii="Arial Narrow" w:hAnsi="Arial Narrow"/>
        </w:rPr>
        <w:t>se Prodávající zavazuje provést v souladu se zákonem č. 375/2022 Sb., o zdravotnických prostředcích</w:t>
      </w:r>
    </w:p>
    <w:p w14:paraId="6C260CB9" w14:textId="77777777" w:rsidR="00DC289C" w:rsidRDefault="00DC289C" w:rsidP="00DC289C">
      <w:pPr>
        <w:spacing w:after="0" w:line="240" w:lineRule="auto"/>
        <w:ind w:left="992"/>
        <w:jc w:val="both"/>
        <w:rPr>
          <w:rFonts w:ascii="Arial Narrow" w:hAnsi="Arial Narrow"/>
        </w:rPr>
      </w:pPr>
      <w:r w:rsidRPr="00DC289C">
        <w:rPr>
          <w:rFonts w:ascii="Arial Narrow" w:hAnsi="Arial Narrow"/>
        </w:rPr>
        <w:t>a diagnostických zdravotnických prostředcích in vitro, ve znění pozdějších předpisů</w:t>
      </w:r>
    </w:p>
    <w:p w14:paraId="700C24B8" w14:textId="2C027827" w:rsidR="00FE0D18" w:rsidRPr="00953866" w:rsidRDefault="00FE0D18" w:rsidP="00DC289C">
      <w:pPr>
        <w:spacing w:after="60" w:line="240" w:lineRule="auto"/>
        <w:ind w:left="993"/>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2448103C"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nebo jsou stanovené zákonem č. 375/2022 Sb., o zdravotnických prostředcích a</w:t>
      </w:r>
      <w:r>
        <w:rPr>
          <w:rFonts w:ascii="Arial Narrow" w:hAnsi="Arial Narrow"/>
        </w:rPr>
        <w:t xml:space="preserve"> </w:t>
      </w:r>
      <w:r w:rsidRPr="00DC289C">
        <w:rPr>
          <w:rFonts w:ascii="Arial Narrow" w:hAnsi="Arial Narrow"/>
        </w:rPr>
        <w:t>diagnostických zdravotnických prostředcích in vitro, ve znění pozdějších předpisů),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32779F4A"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xml:space="preserve">. </w:t>
      </w:r>
      <w:r w:rsidR="00AA7343" w:rsidRPr="00AA7343">
        <w:rPr>
          <w:rFonts w:ascii="Arial Narrow" w:hAnsi="Arial Narrow"/>
        </w:rPr>
        <w:t xml:space="preserve">Prodávající bere na vědomí, že Zboží může být umístěno a používáno ve zdravotnickém zařízení při výkonu léčebné péče, příp. pro výkon lékařské péče. 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se zavazuje řádně a včas Zboží převzít. Kupující je povinen zaplatit Prodávajícímu Kupní cenu za podmínek a způsobem uvedeným v této Smlouvě. Kupující se stává vlastníkem Zboží a nebezpečí škody na </w:t>
      </w:r>
      <w:r w:rsidRPr="003F11D8">
        <w:rPr>
          <w:rFonts w:ascii="Arial Narrow" w:hAnsi="Arial Narrow"/>
        </w:rPr>
        <w:lastRenderedPageBreak/>
        <w:t>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lastRenderedPageBreak/>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1FE80424"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AA7343" w:rsidRPr="00292F2C">
        <w:rPr>
          <w:rFonts w:ascii="Arial Narrow" w:hAnsi="Arial Narrow"/>
          <w:b/>
        </w:rPr>
        <w:t>Všeobecná interní klinika Lékařské fakulty MU</w:t>
      </w:r>
      <w:r w:rsidR="00AA7343" w:rsidRPr="00292F2C">
        <w:rPr>
          <w:rFonts w:ascii="Arial Narrow" w:hAnsi="Arial Narrow"/>
          <w:b/>
          <w:bCs/>
        </w:rPr>
        <w:t xml:space="preserve"> společná pracoviště LF MU a Fakultní nemocnice Brno, nacházející se v areálu Fakultní nemocnice Brno, Jihlavská 340/20, 625 00 Brno</w:t>
      </w:r>
      <w:r w:rsidR="00AA7343" w:rsidRPr="00292F2C">
        <w:rPr>
          <w:rFonts w:ascii="Arial Narrow" w:hAnsi="Arial Narrow"/>
          <w:b/>
        </w:rPr>
        <w:t>, přesné místo</w:t>
      </w:r>
      <w:r w:rsidR="00AA7343" w:rsidRPr="00292F2C">
        <w:rPr>
          <w:rFonts w:ascii="Arial Narrow" w:hAnsi="Arial Narrow"/>
        </w:rPr>
        <w:t xml:space="preserve"> následně upřesní kontaktní osoba pro převzetí dodávky Zboží (přístroje).</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05129A1F"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66219D">
        <w:rPr>
          <w:rFonts w:ascii="Arial Narrow" w:hAnsi="Arial Narrow"/>
          <w:b/>
          <w:bCs/>
          <w:sz w:val="24"/>
          <w:szCs w:val="24"/>
        </w:rPr>
        <w:t>3</w:t>
      </w:r>
      <w:r w:rsidR="00AA7343">
        <w:rPr>
          <w:rFonts w:ascii="Arial Narrow" w:hAnsi="Arial Narrow"/>
          <w:b/>
          <w:bCs/>
          <w:sz w:val="24"/>
          <w:szCs w:val="24"/>
        </w:rPr>
        <w:t>0</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w:t>
      </w:r>
      <w:r w:rsidRPr="003F11D8">
        <w:rPr>
          <w:rFonts w:ascii="Arial Narrow" w:hAnsi="Arial Narrow"/>
        </w:rPr>
        <w:lastRenderedPageBreak/>
        <w:t xml:space="preserve">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lastRenderedPageBreak/>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2"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2"/>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lastRenderedPageBreak/>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3"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3"/>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2000E191" w:rsidR="006722DD" w:rsidRPr="004E3091"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6"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7"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7"/>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6"/>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5DA1DE25"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DB7564">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5D164DDB"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DB7564">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AW+pRYeplAgsQNGSOyCf5qLaan4PffXHf7cKcJh9jSq9yQpaCX5hO33bUtzyDzUkTBa28kfUHiRDyvC22bKG2g==" w:salt="GWl/jPkajB6hzxtxPqpZZw=="/>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11</TotalTime>
  <Pages>13</Pages>
  <Words>5567</Words>
  <Characters>32850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11</cp:revision>
  <cp:lastPrinted>2015-11-18T12:49:00Z</cp:lastPrinted>
  <dcterms:created xsi:type="dcterms:W3CDTF">2025-03-17T07:53:00Z</dcterms:created>
  <dcterms:modified xsi:type="dcterms:W3CDTF">2025-03-25T11:08:00Z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