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5B3490A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2B55059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19F3AA5F"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79719F" w:rsidRPr="0079719F">
        <w:rPr>
          <w:rFonts w:ascii="Arial Narrow" w:hAnsi="Arial Narrow"/>
          <w:bCs/>
          <w:sz w:val="24"/>
          <w:szCs w:val="24"/>
        </w:rPr>
        <w:t>MUDr. Michael Lujc</w:t>
      </w:r>
      <w:r w:rsidRPr="003F11D8">
        <w:rPr>
          <w:rFonts w:ascii="Arial Narrow" w:hAnsi="Arial Narrow"/>
          <w:sz w:val="24"/>
          <w:szCs w:val="24"/>
        </w:rPr>
        <w:t>, tel. č.</w:t>
      </w:r>
      <w:r>
        <w:rPr>
          <w:rFonts w:ascii="Arial Narrow" w:hAnsi="Arial Narrow"/>
          <w:sz w:val="24"/>
          <w:szCs w:val="24"/>
        </w:rPr>
        <w:t>:</w:t>
      </w:r>
      <w:r w:rsidRPr="003F11D8">
        <w:rPr>
          <w:rFonts w:ascii="Arial Narrow" w:hAnsi="Arial Narrow"/>
          <w:sz w:val="24"/>
          <w:szCs w:val="24"/>
        </w:rPr>
        <w:t xml:space="preserve"> </w:t>
      </w:r>
      <w:r w:rsidR="008C31C5">
        <w:rPr>
          <w:rFonts w:ascii="Arial Narrow" w:hAnsi="Arial Narrow"/>
          <w:bCs/>
          <w:sz w:val="24"/>
          <w:szCs w:val="24"/>
        </w:rPr>
        <w:t>+420</w:t>
      </w:r>
      <w:r w:rsidR="0079719F">
        <w:rPr>
          <w:rFonts w:ascii="Arial Narrow" w:hAnsi="Arial Narrow"/>
          <w:bCs/>
          <w:sz w:val="24"/>
          <w:szCs w:val="24"/>
        </w:rPr>
        <w:t> </w:t>
      </w:r>
      <w:r w:rsidR="0079719F" w:rsidRPr="0079719F">
        <w:rPr>
          <w:rFonts w:ascii="Arial Narrow" w:hAnsi="Arial Narrow"/>
          <w:bCs/>
          <w:sz w:val="24"/>
          <w:szCs w:val="24"/>
        </w:rPr>
        <w:t>532</w:t>
      </w:r>
      <w:r w:rsidR="009F0085">
        <w:rPr>
          <w:rFonts w:ascii="Arial Narrow" w:hAnsi="Arial Narrow"/>
          <w:bCs/>
          <w:sz w:val="24"/>
          <w:szCs w:val="24"/>
        </w:rPr>
        <w:t> </w:t>
      </w:r>
      <w:r w:rsidR="0079719F" w:rsidRPr="0079719F">
        <w:rPr>
          <w:rFonts w:ascii="Arial Narrow" w:hAnsi="Arial Narrow"/>
          <w:bCs/>
          <w:sz w:val="24"/>
          <w:szCs w:val="24"/>
        </w:rPr>
        <w:t>233</w:t>
      </w:r>
      <w:r w:rsidR="009F0085">
        <w:rPr>
          <w:rFonts w:ascii="Arial Narrow" w:hAnsi="Arial Narrow"/>
          <w:bCs/>
          <w:sz w:val="24"/>
          <w:szCs w:val="24"/>
        </w:rPr>
        <w:t xml:space="preserve"> </w:t>
      </w:r>
      <w:r w:rsidR="0079719F" w:rsidRPr="0079719F">
        <w:rPr>
          <w:rFonts w:ascii="Arial Narrow" w:hAnsi="Arial Narrow"/>
          <w:bCs/>
          <w:sz w:val="24"/>
          <w:szCs w:val="24"/>
        </w:rPr>
        <w:t>193</w:t>
      </w:r>
      <w:r w:rsidR="0079719F">
        <w:rPr>
          <w:rFonts w:ascii="Arial Narrow" w:hAnsi="Arial Narrow"/>
          <w:bCs/>
          <w:sz w:val="24"/>
          <w:szCs w:val="24"/>
        </w:rPr>
        <w:t xml:space="preserve">, </w:t>
      </w:r>
      <w:r w:rsidRPr="003F11D8">
        <w:rPr>
          <w:rFonts w:ascii="Arial Narrow" w:hAnsi="Arial Narrow"/>
          <w:sz w:val="24"/>
          <w:szCs w:val="24"/>
        </w:rPr>
        <w:t xml:space="preserve">e-mail: </w:t>
      </w:r>
      <w:r w:rsidR="0079719F" w:rsidRPr="0079719F">
        <w:rPr>
          <w:rFonts w:ascii="Arial Narrow" w:hAnsi="Arial Narrow"/>
          <w:bCs/>
          <w:sz w:val="24"/>
          <w:szCs w:val="24"/>
        </w:rPr>
        <w:t>lujc.michael@fnbrno.cz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70B60999"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79719F" w:rsidRPr="0079719F">
        <w:rPr>
          <w:rFonts w:ascii="Arial Narrow" w:hAnsi="Arial Narrow"/>
          <w:b/>
          <w:bCs/>
        </w:rPr>
        <w:t>nového zdravotnického přístroje – mobilního ultrazvukového přístroje pro Kliniku ortopedie a spondylochirurgie LF MU</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w:t>
      </w:r>
      <w:r w:rsidR="004E1100" w:rsidRPr="003F11D8">
        <w:rPr>
          <w:rFonts w:ascii="Arial Narrow" w:hAnsi="Arial Narrow"/>
        </w:rPr>
        <w:lastRenderedPageBreak/>
        <w:t>Smlouvy upřesňuje podrobná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46024E"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xml:space="preserve">. Prodávající prohlašuje, že předmět plnění splňuje veškeré podmínky stanovené právními předpisy k používání předmětu plnění, a že Kupujícímu předal veškeré doklady potřebné k provozování </w:t>
      </w:r>
      <w:r w:rsidRPr="0046024E">
        <w:rPr>
          <w:rFonts w:ascii="Arial Narrow" w:hAnsi="Arial Narrow"/>
        </w:rPr>
        <w:t>předmětu plnění, za což Kupujícímu ručí</w:t>
      </w:r>
      <w:r w:rsidR="008851AA" w:rsidRPr="0046024E">
        <w:rPr>
          <w:rFonts w:ascii="Arial Narrow" w:hAnsi="Arial Narrow"/>
        </w:rPr>
        <w:t>,</w:t>
      </w:r>
    </w:p>
    <w:p w14:paraId="31C62BAC" w14:textId="078BF9F1" w:rsidR="00DC289C" w:rsidRPr="0046024E" w:rsidRDefault="006722DD" w:rsidP="00DC289C">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doprava Zboží do místa plnění</w:t>
      </w:r>
      <w:r w:rsidR="008851AA" w:rsidRPr="0046024E">
        <w:rPr>
          <w:rFonts w:ascii="Arial Narrow" w:hAnsi="Arial Narrow"/>
        </w:rPr>
        <w:t>,</w:t>
      </w:r>
    </w:p>
    <w:p w14:paraId="2E2BD44F" w14:textId="3D2AE5FF" w:rsidR="00DC289C" w:rsidRPr="0046024E" w:rsidRDefault="00DC289C" w:rsidP="00DC289C">
      <w:pPr>
        <w:numPr>
          <w:ilvl w:val="0"/>
          <w:numId w:val="22"/>
        </w:numPr>
        <w:tabs>
          <w:tab w:val="clear" w:pos="1429"/>
        </w:tabs>
        <w:spacing w:after="0" w:line="240" w:lineRule="auto"/>
        <w:ind w:left="992" w:hanging="426"/>
        <w:jc w:val="both"/>
        <w:rPr>
          <w:rFonts w:ascii="Arial Narrow" w:hAnsi="Arial Narrow"/>
        </w:rPr>
      </w:pPr>
      <w:r w:rsidRPr="0046024E">
        <w:rPr>
          <w:rFonts w:ascii="Arial Narrow" w:hAnsi="Arial Narrow"/>
        </w:rPr>
        <w:t>instalace, ověření funkčnosti Zboží a uvedení Zboží do provozu. Instalaci a uvedení Zboží do provozu</w:t>
      </w:r>
    </w:p>
    <w:p w14:paraId="627C9D29" w14:textId="77777777" w:rsidR="00DC289C" w:rsidRPr="0046024E" w:rsidRDefault="00DC289C" w:rsidP="00DC289C">
      <w:pPr>
        <w:spacing w:after="0" w:line="240" w:lineRule="auto"/>
        <w:ind w:left="992"/>
        <w:jc w:val="both"/>
        <w:rPr>
          <w:rFonts w:ascii="Arial Narrow" w:hAnsi="Arial Narrow"/>
        </w:rPr>
      </w:pPr>
      <w:r w:rsidRPr="0046024E">
        <w:rPr>
          <w:rFonts w:ascii="Arial Narrow" w:hAnsi="Arial Narrow"/>
        </w:rPr>
        <w:t>se Prodávající zavazuje provést v souladu se zákonem č. 375/2022 Sb., o zdravotnických prostředcích</w:t>
      </w:r>
    </w:p>
    <w:p w14:paraId="6C260CB9" w14:textId="77777777" w:rsidR="00DC289C" w:rsidRPr="0046024E" w:rsidRDefault="00DC289C" w:rsidP="00DC289C">
      <w:pPr>
        <w:spacing w:after="0" w:line="240" w:lineRule="auto"/>
        <w:ind w:left="992"/>
        <w:jc w:val="both"/>
        <w:rPr>
          <w:rFonts w:ascii="Arial Narrow" w:hAnsi="Arial Narrow"/>
        </w:rPr>
      </w:pPr>
      <w:r w:rsidRPr="0046024E">
        <w:rPr>
          <w:rFonts w:ascii="Arial Narrow" w:hAnsi="Arial Narrow"/>
        </w:rPr>
        <w:t>a diagnostických zdravotnických prostředcích in vitro, ve znění pozdějších předpisů</w:t>
      </w:r>
    </w:p>
    <w:p w14:paraId="700C24B8" w14:textId="2C027827" w:rsidR="00FE0D18" w:rsidRPr="0046024E" w:rsidRDefault="00FE0D18" w:rsidP="00DC289C">
      <w:pPr>
        <w:spacing w:after="60" w:line="240" w:lineRule="auto"/>
        <w:ind w:left="993"/>
        <w:jc w:val="both"/>
        <w:rPr>
          <w:rFonts w:ascii="Arial Narrow" w:hAnsi="Arial Narrow"/>
        </w:rPr>
      </w:pPr>
      <w:r w:rsidRPr="0046024E">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sidRPr="0046024E">
        <w:rPr>
          <w:rFonts w:ascii="Arial Narrow" w:hAnsi="Arial Narrow"/>
        </w:rPr>
        <w:t>,</w:t>
      </w:r>
    </w:p>
    <w:p w14:paraId="20436D12" w14:textId="7DE578FC" w:rsidR="00DC289C" w:rsidRPr="0046024E" w:rsidRDefault="006722DD" w:rsidP="00DC289C">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technické a aplikační seznámení uživatelů s</w:t>
      </w:r>
      <w:r w:rsidR="008851AA" w:rsidRPr="0046024E">
        <w:rPr>
          <w:rFonts w:ascii="Arial Narrow" w:hAnsi="Arial Narrow"/>
        </w:rPr>
        <w:t> </w:t>
      </w:r>
      <w:r w:rsidRPr="0046024E">
        <w:rPr>
          <w:rFonts w:ascii="Arial Narrow" w:hAnsi="Arial Narrow"/>
        </w:rPr>
        <w:t>obsluho</w:t>
      </w:r>
      <w:r w:rsidR="00FE0D18" w:rsidRPr="0046024E">
        <w:rPr>
          <w:rFonts w:ascii="Arial Narrow" w:hAnsi="Arial Narrow"/>
        </w:rPr>
        <w:t>u</w:t>
      </w:r>
      <w:r w:rsidR="008851AA" w:rsidRPr="0046024E">
        <w:rPr>
          <w:rFonts w:ascii="Arial Narrow" w:hAnsi="Arial Narrow"/>
        </w:rPr>
        <w:t>,</w:t>
      </w:r>
    </w:p>
    <w:p w14:paraId="5683C8C1" w14:textId="2448103C" w:rsidR="00DC289C" w:rsidRPr="0046024E" w:rsidRDefault="00DC289C" w:rsidP="00DC289C">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servis po dobu celé záruční lhůty dle čl. 6.1. této Smlouvy v rozsahu stanovém výrobcem včetně validace a kalibrace, předepsaných preventivních prohlídek, kontrol, revizí a preventivních údržbových prací (jestliže je výrobce nebo právní předpisy ČR vyžadují nebo pokud jimi Prodávající podmiňuje platnost záruky nebo jsou stanovené zákonem č. 375/2022 Sb., o zdravotnických prostředcích a diagnostických zdravotnických prostředcích in vitro, ve znění pozdějších předpisů), včetně veškerých oprav, dodávky náhradních dílů a dále včetně cestovného a práce servisních techniků</w:t>
      </w:r>
      <w:r w:rsidR="008851AA" w:rsidRPr="0046024E">
        <w:rPr>
          <w:rFonts w:ascii="Arial Narrow" w:hAnsi="Arial Narrow"/>
        </w:rPr>
        <w:t>,</w:t>
      </w:r>
    </w:p>
    <w:p w14:paraId="69B8DBA3" w14:textId="6B613F90" w:rsidR="00FE0D18" w:rsidRPr="0046024E" w:rsidRDefault="00FE0D18" w:rsidP="00FE0D18">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sidRPr="0046024E">
        <w:rPr>
          <w:rFonts w:ascii="Arial Narrow" w:hAnsi="Arial Narrow"/>
        </w:rPr>
        <w:t>.</w:t>
      </w:r>
    </w:p>
    <w:p w14:paraId="7913DD34" w14:textId="32779F4A"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46024E">
        <w:rPr>
          <w:rFonts w:ascii="Arial Narrow" w:hAnsi="Arial Narrow"/>
        </w:rPr>
        <w:t>Zboží bude způsobilé k užití pro účel této Smlouvy, kterým je</w:t>
      </w:r>
      <w:r w:rsidR="00434B64" w:rsidRPr="0046024E">
        <w:rPr>
          <w:rFonts w:ascii="Arial Narrow" w:hAnsi="Arial Narrow"/>
        </w:rPr>
        <w:t xml:space="preserve"> zejména jeho</w:t>
      </w:r>
      <w:r w:rsidRPr="0046024E">
        <w:rPr>
          <w:rFonts w:ascii="Arial Narrow" w:hAnsi="Arial Narrow"/>
        </w:rPr>
        <w:t xml:space="preserve"> </w:t>
      </w:r>
      <w:r w:rsidRPr="0046024E">
        <w:rPr>
          <w:rFonts w:ascii="Arial Narrow" w:hAnsi="Arial Narrow"/>
          <w:i/>
        </w:rPr>
        <w:t xml:space="preserve">použití </w:t>
      </w:r>
      <w:r w:rsidR="00434B64" w:rsidRPr="0046024E">
        <w:rPr>
          <w:rFonts w:ascii="Arial Narrow" w:hAnsi="Arial Narrow" w:cs="Tahoma"/>
          <w:shd w:val="clear" w:color="auto" w:fill="FFFFFF"/>
        </w:rPr>
        <w:t>pro</w:t>
      </w:r>
      <w:r w:rsidRPr="0046024E">
        <w:rPr>
          <w:rFonts w:ascii="Arial Narrow" w:hAnsi="Arial Narrow"/>
          <w:i/>
        </w:rPr>
        <w:t xml:space="preserve"> výuku, vědu a doplňkovou činnost </w:t>
      </w:r>
      <w:r w:rsidRPr="0046024E">
        <w:rPr>
          <w:rFonts w:ascii="Arial Narrow" w:hAnsi="Arial Narrow"/>
        </w:rPr>
        <w:t>na</w:t>
      </w:r>
      <w:r w:rsidR="00434B64" w:rsidRPr="0046024E">
        <w:rPr>
          <w:rFonts w:ascii="Arial Narrow" w:hAnsi="Arial Narrow" w:cs="Tahoma"/>
          <w:shd w:val="clear" w:color="auto" w:fill="FFFFFF"/>
        </w:rPr>
        <w:t xml:space="preserve"> </w:t>
      </w:r>
      <w:r w:rsidR="005E5623" w:rsidRPr="0046024E">
        <w:rPr>
          <w:rFonts w:ascii="Arial Narrow" w:hAnsi="Arial Narrow" w:cs="Tahoma"/>
          <w:shd w:val="clear" w:color="auto" w:fill="FFFFFF"/>
        </w:rPr>
        <w:t>pracovišti</w:t>
      </w:r>
      <w:r w:rsidR="00434B64" w:rsidRPr="0046024E">
        <w:rPr>
          <w:rFonts w:ascii="Arial Narrow" w:hAnsi="Arial Narrow" w:cs="Tahoma"/>
          <w:shd w:val="clear" w:color="auto" w:fill="FFFFFF"/>
        </w:rPr>
        <w:t xml:space="preserve"> </w:t>
      </w:r>
      <w:r w:rsidRPr="0046024E">
        <w:rPr>
          <w:rFonts w:ascii="Arial Narrow" w:hAnsi="Arial Narrow"/>
        </w:rPr>
        <w:t>Lékařské fakulty</w:t>
      </w:r>
      <w:r w:rsidR="00A63736" w:rsidRPr="0046024E">
        <w:rPr>
          <w:rFonts w:ascii="Arial Narrow" w:hAnsi="Arial Narrow"/>
        </w:rPr>
        <w:t xml:space="preserve"> </w:t>
      </w:r>
      <w:r w:rsidR="004E2338" w:rsidRPr="0046024E">
        <w:rPr>
          <w:rFonts w:ascii="Arial Narrow" w:hAnsi="Arial Narrow"/>
        </w:rPr>
        <w:t>specifikovaném dále v této Smlouvě</w:t>
      </w:r>
      <w:r w:rsidRPr="0046024E">
        <w:rPr>
          <w:rFonts w:ascii="Arial Narrow" w:hAnsi="Arial Narrow"/>
        </w:rPr>
        <w:t xml:space="preserve">. </w:t>
      </w:r>
      <w:r w:rsidR="00AA7343" w:rsidRPr="0046024E">
        <w:rPr>
          <w:rFonts w:ascii="Arial Narrow" w:hAnsi="Arial Narrow"/>
        </w:rPr>
        <w:t xml:space="preserve">Prodávající bere na vědomí, že Zboží může být umístěno a používáno ve zdravotnickém zařízení při výkonu léčebné péče, příp. pro výkon lékařské péče. Kupující očekává, že vlastnosti Zboží budou odpovídat jeho plánovanému každodennímu využití a intenzivnímu zatížení. </w:t>
      </w:r>
      <w:r w:rsidRPr="0046024E">
        <w:rPr>
          <w:rFonts w:ascii="Arial Narrow" w:hAnsi="Arial Narrow"/>
        </w:rPr>
        <w:t>Kupující</w:t>
      </w:r>
      <w:r w:rsidRPr="00AA7343">
        <w:rPr>
          <w:rFonts w:ascii="Arial Narrow" w:hAnsi="Arial Narrow"/>
        </w:rPr>
        <w:t xml:space="preserve">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se zavazuje řádně a včas Zboží převzít. Kupující je povinen zaplatit Prodávajícímu Kupní cenu za podmínek a způsobem uvedeným v této Smlouvě. Kupující se stává vlastníkem Zboží a nebezpečí škody na </w:t>
      </w:r>
      <w:r w:rsidRPr="003F11D8">
        <w:rPr>
          <w:rFonts w:ascii="Arial Narrow" w:hAnsi="Arial Narrow"/>
        </w:rPr>
        <w:lastRenderedPageBreak/>
        <w:t>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0091B7E0" w14:textId="77777777" w:rsidR="005E30D2" w:rsidRPr="004508F5" w:rsidRDefault="005E30D2" w:rsidP="005E30D2">
      <w:pPr>
        <w:numPr>
          <w:ilvl w:val="1"/>
          <w:numId w:val="9"/>
        </w:numPr>
        <w:tabs>
          <w:tab w:val="clear" w:pos="360"/>
        </w:tabs>
        <w:spacing w:after="120" w:line="240" w:lineRule="auto"/>
        <w:ind w:left="425" w:hanging="425"/>
        <w:jc w:val="both"/>
        <w:rPr>
          <w:rFonts w:ascii="Arial Narrow" w:hAnsi="Arial Narrow"/>
          <w:szCs w:val="24"/>
        </w:rPr>
      </w:pPr>
      <w:r w:rsidRPr="004508F5">
        <w:rPr>
          <w:rFonts w:ascii="Arial Narrow" w:hAnsi="Arial Narrow"/>
          <w:szCs w:val="24"/>
        </w:rPr>
        <w:t>Položkový rozpočet celkové kupní ceny stanovené v čl. 3.1. této Smlouvy je stanoven v příloze č. 2, která tvoří nedílnou součást této Smlouvy.</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lastRenderedPageBreak/>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4946DA77"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79719F" w:rsidRPr="0079719F">
        <w:rPr>
          <w:rFonts w:ascii="Arial Narrow" w:hAnsi="Arial Narrow"/>
          <w:b/>
        </w:rPr>
        <w:t>Klinika ortopedie a spondylochirurgie L</w:t>
      </w:r>
      <w:r w:rsidR="0079719F">
        <w:rPr>
          <w:rFonts w:ascii="Arial Narrow" w:hAnsi="Arial Narrow"/>
          <w:b/>
        </w:rPr>
        <w:t>ékařské fakulty</w:t>
      </w:r>
      <w:r w:rsidR="0079719F" w:rsidRPr="0079719F">
        <w:rPr>
          <w:rFonts w:ascii="Arial Narrow" w:hAnsi="Arial Narrow"/>
          <w:b/>
        </w:rPr>
        <w:t xml:space="preserve"> MU</w:t>
      </w:r>
      <w:r w:rsidR="0079719F">
        <w:rPr>
          <w:rFonts w:ascii="Arial Narrow" w:hAnsi="Arial Narrow"/>
          <w:b/>
        </w:rPr>
        <w:t>,</w:t>
      </w:r>
      <w:r w:rsidR="00AA7343" w:rsidRPr="00292F2C">
        <w:rPr>
          <w:rFonts w:ascii="Arial Narrow" w:hAnsi="Arial Narrow"/>
          <w:b/>
          <w:bCs/>
        </w:rPr>
        <w:t xml:space="preserve"> společná pracoviště LF MU a Fakultní nemocnice Brno, nacházející se v areálu Fakultní nemocnice Brno, Jihlavská 340/20, 625 00 Brno</w:t>
      </w:r>
      <w:r w:rsidR="00AA7343" w:rsidRPr="00292F2C">
        <w:rPr>
          <w:rFonts w:ascii="Arial Narrow" w:hAnsi="Arial Narrow"/>
          <w:b/>
        </w:rPr>
        <w:t>,</w:t>
      </w:r>
      <w:r w:rsidR="0046024E" w:rsidRPr="0046024E">
        <w:t xml:space="preserve"> </w:t>
      </w:r>
      <w:r w:rsidR="0046024E" w:rsidRPr="0046024E">
        <w:rPr>
          <w:rFonts w:ascii="Arial Narrow" w:hAnsi="Arial Narrow"/>
          <w:b/>
        </w:rPr>
        <w:t>Pavilon L, 8. patro, oddělení 8B</w:t>
      </w:r>
      <w:r w:rsidR="0046024E">
        <w:rPr>
          <w:rFonts w:ascii="Arial Narrow" w:hAnsi="Arial Narrow"/>
          <w:b/>
        </w:rPr>
        <w:t>.</w:t>
      </w:r>
      <w:r w:rsidR="00AA7343" w:rsidRPr="00292F2C">
        <w:rPr>
          <w:rFonts w:ascii="Arial Narrow" w:hAnsi="Arial Narrow"/>
          <w:b/>
        </w:rPr>
        <w:t xml:space="preserve"> </w:t>
      </w:r>
      <w:r w:rsidR="0046024E">
        <w:rPr>
          <w:rFonts w:ascii="Arial Narrow" w:hAnsi="Arial Narrow"/>
          <w:b/>
        </w:rPr>
        <w:t>P</w:t>
      </w:r>
      <w:r w:rsidR="00AA7343" w:rsidRPr="00292F2C">
        <w:rPr>
          <w:rFonts w:ascii="Arial Narrow" w:hAnsi="Arial Narrow"/>
          <w:b/>
        </w:rPr>
        <w:t>řesné místo</w:t>
      </w:r>
      <w:r w:rsidR="00AA7343" w:rsidRPr="00292F2C">
        <w:rPr>
          <w:rFonts w:ascii="Arial Narrow" w:hAnsi="Arial Narrow"/>
        </w:rPr>
        <w:t xml:space="preserve"> následně upřesní kontaktní osoba pro převzetí dodávky Zboží (přístroje).</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1271DAAB"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9B7229">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lastRenderedPageBreak/>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w:t>
      </w:r>
      <w:r w:rsidRPr="003F11D8">
        <w:rPr>
          <w:rFonts w:ascii="Arial Narrow" w:hAnsi="Arial Narrow"/>
        </w:rPr>
        <w:lastRenderedPageBreak/>
        <w:t>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0C5E3F2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2"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2"/>
      <w:r w:rsidRPr="003F11D8">
        <w:rPr>
          <w:rFonts w:ascii="Arial Narrow" w:hAnsi="Arial Narrow"/>
          <w:szCs w:val="24"/>
        </w:rPr>
        <w:t xml:space="preserve">ode dne uplynutí posledního dne záruční doby za jakost dle čl. 6.1 této Smlouvy zabezpečit na výzvu Kupujícího za </w:t>
      </w:r>
      <w:r w:rsidRPr="003F11D8">
        <w:rPr>
          <w:rFonts w:ascii="Arial Narrow" w:hAnsi="Arial Narrow"/>
          <w:szCs w:val="24"/>
        </w:rPr>
        <w:lastRenderedPageBreak/>
        <w:t>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3"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3"/>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5C38BE9F"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Zaplacením smluvní pokuty není dotčen nárok Kupujícího na náhradu škody způsobené mu porušením povinnosti Prodávajícího, na niž se sankce vztahuje. Smluvní strany se dohodly, že pro uplatnění smluvní </w:t>
      </w:r>
      <w:r w:rsidRPr="003F11D8">
        <w:rPr>
          <w:rFonts w:ascii="Arial Narrow" w:hAnsi="Arial Narrow"/>
        </w:rPr>
        <w:lastRenderedPageBreak/>
        <w:t>pokuty a nároku na náhradu škody vyplývající z porušení této smlouvy se nepoužije § 2050 Občanského zákoníku</w:t>
      </w:r>
      <w:r w:rsidR="00515ED0">
        <w:rPr>
          <w:rFonts w:ascii="Arial Narrow" w:hAnsi="Arial Narrow"/>
        </w:rPr>
        <w:t>.</w:t>
      </w:r>
    </w:p>
    <w:p w14:paraId="07F5CA29" w14:textId="77777777" w:rsidR="009F0085" w:rsidRPr="004E3091" w:rsidRDefault="009F0085" w:rsidP="009F0085">
      <w:pPr>
        <w:spacing w:after="120" w:line="240" w:lineRule="auto"/>
        <w:ind w:left="426"/>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4"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5" w:name="_Hlk40712153"/>
      <w:r w:rsidRPr="005D2B79">
        <w:t>Nesplnění povinností Prodávajícího dle tohoto ustanovení Smlouvy se považuje za podstatné porušení Smlouvy</w:t>
      </w:r>
      <w:bookmarkEnd w:id="5"/>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4"/>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lastRenderedPageBreak/>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4950B83B" w14:textId="5224CB4D" w:rsidR="0065297B" w:rsidRPr="0065297B" w:rsidRDefault="0065297B" w:rsidP="0065297B">
      <w:pPr>
        <w:pStyle w:val="Odstavecseseznamem"/>
        <w:spacing w:after="60"/>
        <w:ind w:left="709"/>
        <w:contextualSpacing w:val="0"/>
        <w:jc w:val="both"/>
        <w:rPr>
          <w:rFonts w:ascii="Arial Narrow" w:hAnsi="Arial Narrow"/>
          <w:sz w:val="22"/>
        </w:rPr>
      </w:pPr>
      <w:r w:rsidRPr="00333846">
        <w:rPr>
          <w:rFonts w:ascii="Arial Narrow" w:hAnsi="Arial Narrow"/>
          <w:sz w:val="22"/>
          <w:u w:val="single"/>
        </w:rPr>
        <w:t>Příloha č. 2</w:t>
      </w:r>
      <w:r w:rsidRPr="00333846">
        <w:rPr>
          <w:rFonts w:ascii="Arial Narrow" w:hAnsi="Arial Narrow"/>
          <w:sz w:val="22"/>
        </w:rPr>
        <w:t xml:space="preserve"> - Položkový rozpočet</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24F292FE"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6"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7"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7"/>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00C4D2FA" w14:textId="77777777" w:rsidR="00607545" w:rsidRDefault="00607545" w:rsidP="00306B99">
      <w:pPr>
        <w:spacing w:after="0" w:line="240" w:lineRule="auto"/>
        <w:ind w:left="709"/>
        <w:jc w:val="both"/>
        <w:rPr>
          <w:rFonts w:ascii="Arial Narrow" w:hAnsi="Arial Narrow"/>
          <w:sz w:val="24"/>
          <w:szCs w:val="24"/>
        </w:rPr>
      </w:pPr>
    </w:p>
    <w:p w14:paraId="48F8B800" w14:textId="77777777" w:rsidR="00607545" w:rsidRDefault="00607545" w:rsidP="00306B99">
      <w:pPr>
        <w:spacing w:after="0" w:line="240" w:lineRule="auto"/>
        <w:ind w:left="709"/>
        <w:jc w:val="both"/>
        <w:rPr>
          <w:rFonts w:ascii="Arial Narrow" w:hAnsi="Arial Narrow"/>
          <w:sz w:val="24"/>
          <w:szCs w:val="24"/>
        </w:rPr>
      </w:pPr>
    </w:p>
    <w:p w14:paraId="79419DE5" w14:textId="44854D71"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6"/>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7B40F2A1" w14:textId="2B4F1351" w:rsidR="005E30D2" w:rsidRDefault="005E30D2">
      <w:pPr>
        <w:spacing w:after="0" w:line="276" w:lineRule="auto"/>
        <w:rPr>
          <w:rFonts w:ascii="Arial Narrow" w:eastAsia="Times New Roman" w:hAnsi="Arial Narrow" w:cs="Times New Roman"/>
          <w:lang w:eastAsia="cs-CZ"/>
        </w:rPr>
      </w:pPr>
      <w:r>
        <w:rPr>
          <w:rFonts w:ascii="Arial Narrow" w:eastAsia="Times New Roman" w:hAnsi="Arial Narrow" w:cs="Times New Roman"/>
          <w:lang w:eastAsia="cs-CZ"/>
        </w:rPr>
        <w:br w:type="page"/>
      </w:r>
    </w:p>
    <w:p w14:paraId="1A1CB4EC" w14:textId="77777777" w:rsidR="005E30D2" w:rsidRPr="000D6D2C" w:rsidRDefault="005E30D2" w:rsidP="005E30D2">
      <w:pPr>
        <w:spacing w:before="120" w:after="60"/>
        <w:jc w:val="both"/>
        <w:rPr>
          <w:rFonts w:ascii="Arial Narrow" w:hAnsi="Arial Narrow" w:cs="Times New Roman"/>
          <w:sz w:val="24"/>
          <w:szCs w:val="24"/>
        </w:rPr>
      </w:pPr>
      <w:r w:rsidRPr="00333846">
        <w:rPr>
          <w:rFonts w:ascii="Arial Narrow" w:hAnsi="Arial Narrow" w:cs="Times New Roman"/>
          <w:sz w:val="24"/>
          <w:szCs w:val="24"/>
          <w:u w:val="single"/>
        </w:rPr>
        <w:lastRenderedPageBreak/>
        <w:t>Příloha č. 2</w:t>
      </w:r>
      <w:r w:rsidRPr="00333846">
        <w:rPr>
          <w:rFonts w:ascii="Arial Narrow" w:hAnsi="Arial Narrow" w:cs="Times New Roman"/>
          <w:sz w:val="24"/>
          <w:szCs w:val="24"/>
        </w:rPr>
        <w:t xml:space="preserve"> - Položkový rozpočet</w:t>
      </w:r>
    </w:p>
    <w:p w14:paraId="13A4D01D" w14:textId="77777777"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38A34EE3"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080E91">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2C87F300"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080E91">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16cid:durableId="1711302176">
    <w:abstractNumId w:val="24"/>
  </w:num>
  <w:num w:numId="2" w16cid:durableId="593325905">
    <w:abstractNumId w:val="0"/>
  </w:num>
  <w:num w:numId="3" w16cid:durableId="1026567201">
    <w:abstractNumId w:val="41"/>
  </w:num>
  <w:num w:numId="4" w16cid:durableId="1782845407">
    <w:abstractNumId w:val="26"/>
  </w:num>
  <w:num w:numId="5" w16cid:durableId="1760979794">
    <w:abstractNumId w:val="35"/>
  </w:num>
  <w:num w:numId="6" w16cid:durableId="1089154393">
    <w:abstractNumId w:val="27"/>
  </w:num>
  <w:num w:numId="7" w16cid:durableId="227232777">
    <w:abstractNumId w:val="14"/>
  </w:num>
  <w:num w:numId="8" w16cid:durableId="213350762">
    <w:abstractNumId w:val="34"/>
  </w:num>
  <w:num w:numId="9" w16cid:durableId="1563826288">
    <w:abstractNumId w:val="37"/>
  </w:num>
  <w:num w:numId="10" w16cid:durableId="458649006">
    <w:abstractNumId w:val="18"/>
  </w:num>
  <w:num w:numId="11" w16cid:durableId="517619523">
    <w:abstractNumId w:val="30"/>
  </w:num>
  <w:num w:numId="12" w16cid:durableId="54814698">
    <w:abstractNumId w:val="36"/>
  </w:num>
  <w:num w:numId="13" w16cid:durableId="833492449">
    <w:abstractNumId w:val="2"/>
  </w:num>
  <w:num w:numId="14" w16cid:durableId="339503531">
    <w:abstractNumId w:val="39"/>
  </w:num>
  <w:num w:numId="15" w16cid:durableId="277177392">
    <w:abstractNumId w:val="3"/>
  </w:num>
  <w:num w:numId="16" w16cid:durableId="1283997101">
    <w:abstractNumId w:val="38"/>
  </w:num>
  <w:num w:numId="17" w16cid:durableId="2090812108">
    <w:abstractNumId w:val="15"/>
  </w:num>
  <w:num w:numId="18" w16cid:durableId="2040280108">
    <w:abstractNumId w:val="7"/>
  </w:num>
  <w:num w:numId="19" w16cid:durableId="635987873">
    <w:abstractNumId w:val="8"/>
  </w:num>
  <w:num w:numId="20" w16cid:durableId="858930942">
    <w:abstractNumId w:val="4"/>
  </w:num>
  <w:num w:numId="21" w16cid:durableId="1890723872">
    <w:abstractNumId w:val="23"/>
  </w:num>
  <w:num w:numId="22" w16cid:durableId="1577547305">
    <w:abstractNumId w:val="25"/>
  </w:num>
  <w:num w:numId="23" w16cid:durableId="2134861695">
    <w:abstractNumId w:val="17"/>
  </w:num>
  <w:num w:numId="24" w16cid:durableId="1135441606">
    <w:abstractNumId w:val="32"/>
  </w:num>
  <w:num w:numId="25" w16cid:durableId="1482695112">
    <w:abstractNumId w:val="16"/>
  </w:num>
  <w:num w:numId="26" w16cid:durableId="1916427962">
    <w:abstractNumId w:val="21"/>
  </w:num>
  <w:num w:numId="27" w16cid:durableId="1747265112">
    <w:abstractNumId w:val="9"/>
  </w:num>
  <w:num w:numId="28" w16cid:durableId="1993632718">
    <w:abstractNumId w:val="28"/>
  </w:num>
  <w:num w:numId="29" w16cid:durableId="748424042">
    <w:abstractNumId w:val="6"/>
  </w:num>
  <w:num w:numId="30" w16cid:durableId="600534737">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014328">
    <w:abstractNumId w:val="40"/>
  </w:num>
  <w:num w:numId="32" w16cid:durableId="585071304">
    <w:abstractNumId w:val="13"/>
  </w:num>
  <w:num w:numId="33" w16cid:durableId="927612655">
    <w:abstractNumId w:val="12"/>
  </w:num>
  <w:num w:numId="34" w16cid:durableId="384766328">
    <w:abstractNumId w:val="20"/>
  </w:num>
  <w:num w:numId="35" w16cid:durableId="274216577">
    <w:abstractNumId w:val="10"/>
  </w:num>
  <w:num w:numId="36" w16cid:durableId="1480070196">
    <w:abstractNumId w:val="22"/>
  </w:num>
  <w:num w:numId="37" w16cid:durableId="981276351">
    <w:abstractNumId w:val="1"/>
  </w:num>
  <w:num w:numId="38" w16cid:durableId="51467253">
    <w:abstractNumId w:val="40"/>
  </w:num>
  <w:num w:numId="39" w16cid:durableId="1094478656">
    <w:abstractNumId w:val="5"/>
  </w:num>
  <w:num w:numId="40" w16cid:durableId="6607401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2895927">
    <w:abstractNumId w:val="19"/>
  </w:num>
  <w:num w:numId="42" w16cid:durableId="666636888">
    <w:abstractNumId w:val="31"/>
  </w:num>
  <w:num w:numId="43" w16cid:durableId="1654022087">
    <w:abstractNumId w:val="11"/>
  </w:num>
  <w:num w:numId="44" w16cid:durableId="1115098536">
    <w:abstractNumId w:val="33"/>
  </w:num>
  <w:num w:numId="45" w16cid:durableId="1485587652">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edit="forms" w:enforcement="1" w:cryptProviderType="rsaAES" w:cryptAlgorithmClass="hash" w:cryptAlgorithmType="typeAny" w:cryptAlgorithmSid="14" w:cryptSpinCount="100000" w:hash="2k+hdCmyv78WadCk71RMEGyeDjQbLqIV4Slr2Yo7PMl0bMF3Ie8uHpm2UXbdbmkCyLWRlaikoem+sxYGUQALlQ==" w:salt="lm+VGnXiHC4jS9fVaBit3A=="/>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0E91"/>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75C68"/>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C2B73"/>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024E"/>
    <w:rsid w:val="00465D34"/>
    <w:rsid w:val="00466430"/>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47338"/>
    <w:rsid w:val="00554E0F"/>
    <w:rsid w:val="00556687"/>
    <w:rsid w:val="00582DFC"/>
    <w:rsid w:val="00584C5D"/>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07545"/>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19F"/>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229"/>
    <w:rsid w:val="009B7A0A"/>
    <w:rsid w:val="009C152D"/>
    <w:rsid w:val="009C2789"/>
    <w:rsid w:val="009C2EBB"/>
    <w:rsid w:val="009C50D7"/>
    <w:rsid w:val="009D0E84"/>
    <w:rsid w:val="009E211C"/>
    <w:rsid w:val="009F0085"/>
    <w:rsid w:val="00A00443"/>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6377A"/>
    <w:rsid w:val="00C74AD3"/>
    <w:rsid w:val="00C77726"/>
    <w:rsid w:val="00C83E29"/>
    <w:rsid w:val="00C86993"/>
    <w:rsid w:val="00C931B4"/>
    <w:rsid w:val="00C9793C"/>
    <w:rsid w:val="00CA03B8"/>
    <w:rsid w:val="00CA321A"/>
    <w:rsid w:val="00CC2597"/>
    <w:rsid w:val="00CC48E7"/>
    <w:rsid w:val="00CC5158"/>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3</TotalTime>
  <Pages>13</Pages>
  <Words>5568</Words>
  <Characters>32854</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5</cp:revision>
  <cp:lastPrinted>2015-11-18T12:49:00Z</cp:lastPrinted>
  <dcterms:created xsi:type="dcterms:W3CDTF">2025-06-13T08:17:00Z</dcterms:created>
  <dcterms:modified xsi:type="dcterms:W3CDTF">2025-07-09T06:37:00Z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